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2022年度盐城市档案馆部门预算公开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1、贯彻执行党和国家、省有关档案管理的法律法规规章及有关规定，研究起草全市档案工作业务标准规范草案。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2、受档案行政管理部门委托，负责档案违法行为的查处，指导全市各县（市、区）档案馆、市属单位及重点工程和重大科研项目档案工作，并参与档案验收。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3、集中统一保管分管范围内的重要档案和历史档案资料，依法依规接收市属单位档案，征集重大活动、重要事件、重大项目、重要任务及对国家和社会有保存价值的档案资料。</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4、对馆藏档案进行科学管理，开展档案的整理、鉴定、保管、统计等各项业务工作，依法开放档案，为社会利用档案提供服务。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5、组织档案的宣传和出版工作，举办档案陈列展览，研究编纂档案史料，为市委、市政府决策提供参考。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6、负责档案现代化建设和档案科研管理工作，组织档案科学技术研究，开展档案技术保护。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7、推进全市档案馆（室）信息化建设，接收市级重要公共数据、电子档案和档案数字化成果，并做好安全存储和运维管理工作。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8、开展档案教育培训和馆际业务交流，做好档案专业技术职称工作，推动档案人才队伍建设。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办公室（安全保卫处）、业务指导处（宣传教育处）、档案管理处、收集开发处、信息技术处。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盐城市档案馆（本级）。</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（一）、强化政治引领，将党的领导贯穿档案工作全过程、各方面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牢记政治属性。切实以政治建设为统领，坚持把政治性作为档案工作的第一属性，始终牢记“档案工作姓党”，在档案工作的各个环节都要准确把握政治定位，努力唱响档案声音，以实际行动坚定捍卫“两个确立”，做好“两个维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牢记使命担当。深入学习贯彻习近平总书记关于做好新时代档案工作的重要批示精神，勇担“为党管档、为国守史、为民服务”的职责使命，站在讲政治的高度开展档案工作，为勇当沿海地区高质量发展排头兵贡献档案力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喜迎党的二十大召开。组织开展“喜迎二十大档案颂辉煌”主题宣传活动，充分运用档案资源，举办主题展览展示，用档案生动阐释党的百年奋斗重大成就和历史经验，全面展现党和国家事业的新变化新面貌新气象，面向大中小学生开展红色研学实践活动，推动红色档案故事进基层，为党的二十大胜利召开营造浓厚热烈氛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（二）、坚持依法依规，全面推进档案事业治理体系和治理能力现代化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坚持依法治档。积极推进档案法治建设，深入学习新修订的《档案法》，鉴机识变推动工作变革，密切关注配套法规出台情况，及时组织传达学习。全面梳理权力事项，明确法律赋予的各项职责，逐步建立和完善馆内适配的管理制度。持续抓好国家档案局13号令的贯彻实施，进一步加强机关档案工作，推进机关档案科学、规范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遵循标准规范。全面推行档案国家标准和行业标准，严格执行归档文件整理规则、照片档案管理规范等标准规范，加强具体业务指导。全面推行《市级机关团体企业事业单位档案移交与接收进馆规范》，严格贯彻纸质档案、电子档案双套制进馆和完成解密审核、开放鉴定等要求，严把档案进馆质量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加强督查激励。系统地组织学习《江苏省机关团体企业事业单位档案工作检查评价办法》，制定详细贯彻落实方法，依法组织开展对本级机关团体企业事业单位档案工作综合和专项检查评价工作。依法开展档案年检，采取集中观摩和上门检查两种方法，对市各立档单位2021年度档案归档工作进行检查。综合考量近年来档案工作实绩和单位推荐情况，拟于下半年联合市档案局、市人社局表扬一批档案工作先进集体和个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（三）、适应新形势，服务新发展，构建多元、规范的档案资源体系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接收整理到期档案。按照接收计划，从3月份开始开展新一轮到期档案接收工作，共接收58个单位，分10个批次进馆，区分纸质文本和电子数据做好校对和检查，发现问题交由立档单位整改。合理安排库房，做好新接收档案整理和上架工作，收集记录各项台账数据，归入相应的全宗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推动电子档案工作。加快实现档案存量数字化、增量电子化、服务网络化，2022年继续实施馆藏80万页纸质档案数字化项目；按双套制进馆要求，同步接收并抽查、校核电子档案数据；调研司法、会计等行业领域电子档案单轨制情况，建立健全电子文件归档、电子档案移交接收相关制度和规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加大档案资源征集力度。利用媒体全面宣传、广泛造势，增强征集工作的影响力。结合省馆对征集工作的相关要求与部署，加大对重大活动、重要人物、重点工程、地方特色档案的征集力度，采用切实可行、灵活多样的形式和方法，使更多更优档案资源向档案馆汇聚。推动与博物馆、图书馆、纪念馆等单位在档案文献资源共享方面加强合作，相互交换重要档案文献重复件、复制件或者目录等，构建具有地方特色的专题档案资源库。</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（四）、围绕“四个好”“两个服务”目标要求，以新发展理念引领档案利用体系建设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强化档案惠民服务。树牢为民服务宗旨，把查档者当做家人，做好档案利用接待工作。简化查档接待流程，细化登记统计内容，逐月整理查档利用单并归入全宗卷。持续加大长三角地区民生档案“异地查档、便民服务”平台建设力度，探索实施将档案公共服务向乡镇（街道）、村（社区）基层一线延伸，建设民生档案查阅点，让“数据多跑路、百姓少跑腿”，切实增强人民群众的获得感和满意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推动鉴定开放工作。学习贯彻《江苏省国家档案馆档案开放审核办法》《江苏省各级国家档案馆馆藏档案涉密档案解密办法》等文件精神，修订完善开放鉴定工作机制和操作流程。深入梳理因开放年限调整带来的工作量，2022年，计划选取利用频繁的10个全宗完成开放鉴定，以件为单位实行划控，筛选出开放档案目录并向社会公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做好《跟档寻踪盐渎记忆》（暂定名）的编撰工作。深入挖掘、梳理和研究档案史料，更好地讲述盐城故事，介绍盐城发展的历史脉络，全面而系统地再现盐城地区在困难挫折中不断开拓发展的奋斗历程，文约而事丰地记述具有鲜明地方特色、在全省乃至全国有一定影响和典型意义的重要事件，生动呈现市委、市政府带领群众谋发展、促改革、求突破的光辉历程，向“盐城建市四十周年”献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忠实记录盐城奋斗历史。持续做好每月一期的《盐城大事记》编撰，言简意赅呈现我市发展动态，纪录盐城发生的重大事件。做好与党史办合作的《盐城党史纪事》（2021）编撰及校对工作，翔实纪录市委、市政府带领广大干部群众主动适应新常态，积极践行新发展理念的实践实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（五）、坚持预防为主，强化责任担当，不断加强档案安全体系建设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加强本质安全管理。认真学习习近平总书记关于安全生产工作的重要思想，定期召开会议，传达学习各级关于安全生产工作会议精神，开展安全风险评估，形成安全风险点排查清单。坚持每日进行防火巡查和消防设施检查，在节假日、汛期等重要时间节点组织专项检查，对发现的隐患建立台账、逐项整改。组织开展消防宣传教育和基本常识学习，定期开展消防演练，不断提高应急处置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15.加强档案实体安全保管。严格执行安全制度，按照“八防”要求做好库房日常管理，及时填写出入库登记、库房巡查登记等账簿。在查档利用过程中确需调取原件的，要严格阅档全过程管理，防止有损坏档案的情况发生。组织对馆藏全部档案和资料进行一次普查，进一步核对数量，排列顺序，检查质量，同步校核目录数据及著录规范性，重点是文书档案文件级目录数据、数字化副本和电子档案质量。开展档案修复保护工作，及时裱糊破损的档案，相关记录归入全宗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16.加强档案信息安全管控。严格控制档案管理，处理好档案开放和保密之间的关系，严格遵照开放档案和未开放档案利用的相关要求，履行控制档案利用审批手续，保证档案信息安全。加强档案数据安全保护，定期进行重要数据备份，跟踪市网络与信息安全情况通报情况，及时处置漏洞，提升信息安全防护水平。加强对纸质档案数字化加工的监督管理，严格选用外包服务商，加强对工作人员的保密教育，定期检查扫描进度、存储介质管理、档案实体保护等情况，确保数字化安全可靠。</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（六）、坚持档案宣传与业务指导相结合，积极扩大档案工作影响力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17.加大档案宣传力度。深入开展普法宣传，举办档案法律法规知识竞赛活动，进一步宣传贯彻档案法律法规，提高档案法治意识。积极发动档案从业人员做好《档案与建设》期刊的征订与组稿工作，大力宣传档案强音。围绕“6•9国际档案日”开展档案宣传，邀请部分区档案馆和机关企事业单位共同举办广场宣传，发放宣传资料，现场回答群众疑问。充分发挥好爱国主义教育基地功能，守牢意识形态宣传阵地，继续开展好档案夏令营活动，吸引更多的中小学生走进档案馆，从档案文化中受到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18.加强业务指导工作。按照机关档案工作规范化管理标准，采取线上指导和上门指导相结合方式，加大对机关、企事业单位的档案业务指导力度。与市援疆援藏办公室联系，对援建档案排查摸底，并对相关援建档案收集、规范整理进行指导。与市发改委沟通联系，加强对重点建设项目档案的跟踪指导服务，并按要求组织好工程档案专项验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19.做好县（市、区）档案馆业务评价工作。督促指导各县（市、区）档案馆做好迎评工作准备，在省档案馆统一部署和指导下，认真贯彻评价工作标准、规则和方法，组建市、县（市、区）测评专家组，对县（市、区）国家综合档案馆业务建设进行评价，力争两家以上县（市、区）档案馆达示范标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（七）、主动融入“档案基础业务提升年”活动，加快提升档案人才队伍业务能力素质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坚持人才强档。大力营造浓厚学术氛围，推动群众性档案学术研讨交流活动深入开展，发动全市档案从业人员积极撰写论文参加省档案学会年会交流。做好档案专业职称评定相关工作，及时更新中评委专家库成员名单，组织一期中评委培训会，进一步规范中级职称评定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21.抓好岗位练兵。大兴岗位练兵热潮，充分发挥档案工作协作组作用，在岗位实践中学业务、练技能。2022年，计划组织1次市级机关档案工作人员业务知识集中培训；联合相关业务部门，开展4-5次部门档案工作专题培训；3月份与苏州大学、8月份与浙江大学联合举办档案干部业务能力提升班学习。</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（八）、扛起责任，加强沟通协调，以时不我待的精神稳步推进新馆建设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22.加快推进工程建设进度。继续履行好项目使用牵头单位职责，加快各类证照手续办理，加大沟通力度协调建设资金落实到位，督促项目建设单位按照施工序时推进建设进度，力争年底前完成主楼和裙房的主体结构验收并开始内外装饰工程施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23.数字档案馆项目立项。开展市级机关立档单位办公系统、业务系统使用情况调研，结合综合档案馆工程项目施工进度，邀请省馆、兄弟市馆和市工信局专家对数字档案馆项目进行论证，形成项目建议书，报市工信局进行项目立项。</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盐城市档案馆</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盐城市档案馆</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924.44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564.34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104.88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27.40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2,000.00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227.82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2,924.44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2,924.44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2,924.44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2,924.44</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盐城市档案馆</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2,924.44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2,924.44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924.44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2,000.00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盐城市档案馆（部门）</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2,924.44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2,924.44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924.44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2,000.00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盐城市档案馆</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2,924.44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2,924.44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924.44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2,000.00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盐城市档案馆</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2,924.44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903.44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2,021.00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20126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档案事务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2012601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544.34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2012604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档案馆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其他行政事业单位医疗支出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城市建设支出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盐城市档案馆</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2,924.44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2,924.44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924.44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564.34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104.88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27.40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227.82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2,924.44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2,924.44</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盐城市档案馆</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2,924.44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903.44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729.72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173.72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2,021.00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173.72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20126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档案事务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173.72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2012601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544.34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173.72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2012604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档案馆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其他行政事业单位医疗支出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城市建设支出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盐城市档案馆</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903.44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729.72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盐城市档案馆</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924.44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903.44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729.72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173.72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173.72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档案事务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173.72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544.34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173.72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2012604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档案馆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其他行政事业单位医疗支出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盐城市档案馆</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903.44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729.72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盐城市档案馆</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盐城市档案馆</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2120803</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城市建设支出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2,000.00</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盐城市档案馆</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盐城市档案馆</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173.72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173.72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物业管理费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9.68</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盐城市档案馆</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盐城市档案馆2022年度收入、支出预算总计2,924.44万元，与上年相比收、支预算总计各增加2,133.64万元，增长269.81%。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（一）收入预算总计2,924.44万元。包括：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1．本年收入合计2,924.44万元。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（1）一般公共预算拨款收入924.44万元，与上年相比增加133.64万元，增长16.9%。主要原因是人员政策性调整工资。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（2）政府性基金预算拨款收入2,000万元，与上年相比增加2,000万元（去年预算数为0万元，无法计算增减比率）。主要原因是2022年新增了综合档案馆建设经费。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（二）支出预算总计2,924.44万元。包括：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1．本年支出合计2,924.44万元。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（1）一般公共服务支出（类）支出564.34万元，主要用于综合档案馆建设和本单位正常运转及大楼正常运行保障支出。与上年相比增加46.56万元，增长8.99%。主要原因是2022年新增了综合档案馆建设经费。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（2）社会保障和就业支出（类）支出104.88万元，主要用于本单位基本养老支出。与上年相比增加19.36万元，增长22.64%。主要原因是本单位离退休人员工资增加。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27.4万元，主要用于本单位按照国家有关规定为职工缴纳医疗保险及公务员医疗保险补助支出等。与上年相比增加2.75万元，增长11.16%。主要原因是因为医疗保险费缴纳基数变动，所以缴纳金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（4）城乡社区支出（类）支出2,000万元，主要用于综合档案馆建设。与上年相比增加2,000万元（去年预算数为0万元，无法计算增减比率）。主要原因是2022年新增项目。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住房保障支出（类）支出227.82万元，主要用于本单位按照国家有关规定为职工缴纳住房公积金、发放提租补贴。与上年相比增加65.97万元，增长40.76%。主要原因是因为缴纳基数变动，所以公积金缴纳金额和提租补贴金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盐城市档案馆2022年收入预算合计2,924.44万元，包括本年收入2,924.44万元，上年结转结余0万元。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本年一般公共预算收入924.44万元，占31.61%；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本年政府性基金预算收入2,000万元，占68.39%；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盐城市档案馆2022年支出预算合计2,924.44万元，其中：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基本支出903.44万元，占30.89%；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项目支出2,021万元，占69.11%；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盐城市档案馆2022年度财政拨款收、支总预算2,924.44万元。与上年相比，财政拨款收、支总计各增加2,133.64万元，增长269.81%。主要原因是2022年新增了综合档案馆建设经费。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盐城市档案馆2022年财政拨款预算支出2,924.44万元，占本年支出合计的100%。与上年相比，财政拨款支出增加2,133.64万元，增长269.81%。主要原因是2022年新增了综合档案馆建设经费。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1.档案事务（款）行政运行（项）支出544.34万元，与上年相比增加148.26万元，增长37.43%。主要原因是人员政策性调整工资。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2.档案事务（款）档案馆（项）支出20万元，与上年预算数相同。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1.行政事业单位养老支出（款）行政单位离退休（项）支出50.52万元，与上年相比增加18.79万元，增长59.22%。主要原因是离退休人员工资增加。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2.行政事业单位养老支出（款）机关事业单位基本养老保险缴费支出（项）支出36.24万元，与上年相比增加0.38万元，增长1.06%。主要原因是因为缴纳基数变动，所以缴纳金额增加。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3.行政事业单位养老支出（款）机关事业单位职业年金缴费支出（项）支出18.12万元，与上年相比增加0.19万元，增长1.06%。主要原因是因为缴纳基数变动，所以缴纳金额增加。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1.行政事业单位医疗（款）行政单位医疗（项）支出18.12万元，与上年相比增加0.19万元，增长1.06%。主要原因是因为缴纳基数变动，所以缴纳金额增加。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2.行政事业单位医疗（款）公务员医疗补助（项）支出6.79万元，与上年相比增加0.07万元，增长1.04%。主要原因是因为缴纳基数变动，所以缴纳金额增加。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医疗（款）其他行政事业单位医疗支出（项）支出2.49万元，与上年相比增加2.49万元（去年预算数为0万元，无法计算增减比率）。主要原因是上年没有设立工伤保险、生育保险的功能科目，今年增加了这项功能科目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国有土地使用权出让收入安排的支出（款）城市建设支出（项）支出2,000万元，与上年相比增加2,000万元（去年预算数为0万元，无法计算增减比率）。主要原因是新增了综合档案馆建设项目。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1.住房改革支出（款）住房公积金（项）支出55.95万元，与上年相比增加16.87万元，增长43.17%。主要原因是因为缴纳基数变动，所以缴纳金额增加。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2.住房改革支出（款）提租补贴（项）支出171.87万元，与上年相比增加65.93万元，增长62.23%。主要原因是因为缴纳基数变动，所以缴纳金额增加。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盐城市档案馆2022年度财政拨款基本支出预算903.44万元，其中：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729.72万元。主要包括：基本工资、津贴补贴、奖金、机关事业单位基本养老保险缴费、职业年金缴费、职工基本医疗保险缴费、公务员医疗补助缴费、其他社会保障缴费、住房公积金、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（二）公用经费173.72万元。主要包括：办公费、印刷费、水费、电费、邮电费、物业管理费、差旅费、维修（护）费、会议费、培训费、公务接待费、工会经费、福利费、其他交通费用、其他商品和服务支出。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盐城市档案馆2022年一般公共预算财政拨款支出预算924.44万元，与上年相比增加133.64万元，增长16.9%。主要原因是人员政策性调整工资。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盐城市档案馆2022年度一般公共预算财政拨款基本支出预算903.44万元，其中：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729.72万元。主要包括：基本工资、津贴补贴、奖金、机关事业单位基本养老保险缴费、职业年金缴费、职工基本医疗保险缴费、公务员医疗补助缴费、其他社会保障缴费、住房公积金、其他工资福利支出、离休费、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（二）公用经费173.72万元。主要包括：办公费、印刷费、水费、电费、邮电费、物业管理费、差旅费、维修（护）费、会议费、培训费、公务接待费、工会经费、福利费、其他交通费用、其他商品和服务支出。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盐城市档案馆2022年度一般公共预算拨款安排的“三公”经费预算支出中，因公出国（境）费支出0万元，占“三公”经费的0%；公务用车购置及运行维护费支出0万元，占“三公”经费的0%；公务接待费支出2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盐城市档案馆2022年度一般公共预算拨款安排的会议费预算支出2万元，与上年预算数相同。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盐城市档案馆2022年度一般公共预算拨款安排的培训费预算支出2万元，与上年预算数相同。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盐城市档案馆2022年政府性基金支出预算支出2,000万元。与上年相比增加2,000万元（去年预算数为0万元，无法计算增减比率）。主要原因是2022年增加了综合档案馆建设经费。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城乡社区支出（类）国有土地使用权出让收入安排的支出（款）城市建设支出（项）支出2,000万元，主要是用于综合档案馆建设。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盐城市档案馆2022年国有资本经营预算支出0万元。与上年预算数相同。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2022年本部门一般公共预算机关运行经费预算支出173.72万元。与上年相比增加106.09万元，增长156.87%。主要原因是人员政策性调整工资。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2022年度政府采购支出预算总额0万元，其中：拟采购货物支出0万元、拟采购工程支出0万元、拟购买服务支出0万元。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2022年度，本部门整体支出纳入绩效目标管理，涉及四本预算资金2,924.44万元；本部门共4个项目纳入绩效目标管理，涉及四本预算资金合计2,021万元，占四本预算资金(基本支出除外)总额的比例为100%。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八、一般公共服务支出(类)档案事务(款)行政运行(项)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九、一般公共服务支出(类)档案事务(款)档案馆(项)</w:t>
      </w:r>
      <w:r>
        <w:rPr>
          <w:rFonts w:ascii="仿宋" w:hAnsi="仿宋" w:cs="仿宋" w:eastAsia="仿宋"/>
          <w:b w:val="true"/>
        </w:rPr>
        <w:t>：</w:t>
      </w:r>
      <w:r>
        <w:rPr>
          <w:rFonts w:hint="eastAsia" w:ascii="仿宋" w:hAnsi="仿宋" w:eastAsia="仿宋" w:cs="仿宋"/>
        </w:rPr>
        <w:t>反映中央和地方各级档案馆的支出，包括档案资料征集，档案抢救、保护、编纂、修复、现代化管理，档案信息资源开发、提供、利用，档案馆设备购置、维护，档案陈列展览等方面的支出。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十五、卫生健康支出(类)行政事业单位医疗(款)其他行政事业单位医疗支出(项)</w:t>
      </w:r>
      <w:r>
        <w:rPr>
          <w:rFonts w:ascii="仿宋" w:hAnsi="仿宋" w:cs="仿宋" w:eastAsia="仿宋"/>
          <w:b w:val="true"/>
        </w:rPr>
        <w:t>：</w:t>
      </w:r>
      <w:r>
        <w:rPr>
          <w:rFonts w:hint="eastAsia" w:ascii="仿宋" w:hAnsi="仿宋" w:eastAsia="仿宋" w:cs="仿宋"/>
        </w:rPr>
        <w:t>反映除上述项目以外的其他用于行政事业单位医疗方面的支出。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十六、城乡社区支出(类)国有土地使用权出让收入安排的支出(款)城市建设支出(项)</w:t>
      </w:r>
      <w:r>
        <w:rPr>
          <w:rFonts w:ascii="仿宋" w:hAnsi="仿宋" w:cs="仿宋" w:eastAsia="仿宋"/>
          <w:b w:val="true"/>
        </w:rPr>
        <w:t>：</w:t>
      </w:r>
      <w:r>
        <w:rPr>
          <w:rFonts w:hint="eastAsia" w:ascii="仿宋" w:hAnsi="仿宋" w:eastAsia="仿宋" w:cs="仿宋"/>
        </w:rPr>
        <w:t>反映土地出让收入用于完善国有土地使用功能的配套设施建设和城市基础设施建设支出。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盐城市档案馆</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